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B1261" w14:textId="7B37A7A3" w:rsidR="00C577E2" w:rsidRPr="00B266B0" w:rsidRDefault="00C577E2" w:rsidP="00C577E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166F4D">
        <w:rPr>
          <w:bCs/>
          <w:noProof w:val="0"/>
          <w:sz w:val="24"/>
          <w:szCs w:val="24"/>
        </w:rPr>
        <w:t>12840</w:t>
      </w:r>
    </w:p>
    <w:p w14:paraId="09384B03" w14:textId="1BA302DC" w:rsidR="00FE4391" w:rsidRPr="00465587" w:rsidRDefault="00C577E2" w:rsidP="00FE4391">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Pr>
          <w:rFonts w:eastAsia="SimSun"/>
          <w:noProof w:val="0"/>
          <w:sz w:val="24"/>
          <w:szCs w:val="24"/>
          <w:lang w:eastAsia="zh-CN"/>
        </w:rPr>
        <w:tab/>
      </w:r>
      <w:r>
        <w:rPr>
          <w:rFonts w:eastAsia="SimSun"/>
          <w:bCs/>
          <w:i/>
          <w:noProof w:val="0"/>
          <w:sz w:val="24"/>
          <w:szCs w:val="24"/>
          <w:lang w:eastAsia="zh-CN"/>
        </w:rPr>
        <w:t>R2-1906041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373578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72D0">
        <w:rPr>
          <w:rFonts w:cs="Arial"/>
          <w:b/>
          <w:bCs/>
          <w:sz w:val="24"/>
          <w:lang w:eastAsia="ja-JP"/>
        </w:rPr>
        <w:t>6.2.</w:t>
      </w:r>
      <w:r w:rsidR="00166F4D">
        <w:rPr>
          <w:rFonts w:cs="Arial"/>
          <w:b/>
          <w:bCs/>
          <w:sz w:val="24"/>
          <w:lang w:eastAsia="ja-JP"/>
        </w:rPr>
        <w:t>2</w:t>
      </w:r>
      <w:bookmarkStart w:id="0" w:name="_GoBack"/>
      <w:bookmarkEnd w:id="0"/>
      <w:r w:rsidR="00C64726">
        <w:rPr>
          <w:rFonts w:cs="Arial"/>
          <w:b/>
          <w:bCs/>
          <w:sz w:val="24"/>
          <w:lang w:eastAsia="ja-JP"/>
        </w:rPr>
        <w:t>.</w:t>
      </w:r>
      <w:r w:rsidR="00C972D0">
        <w:rPr>
          <w:rFonts w:cs="Arial"/>
          <w:b/>
          <w:bCs/>
          <w:sz w:val="24"/>
          <w:lang w:eastAsia="ja-JP"/>
        </w:rPr>
        <w:t>7</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1B5F5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78CC">
        <w:rPr>
          <w:rFonts w:ascii="Arial" w:hAnsi="Arial" w:cs="Arial"/>
          <w:b/>
          <w:bCs/>
          <w:sz w:val="24"/>
        </w:rPr>
        <w:t xml:space="preserve">Split Threshold for </w:t>
      </w:r>
      <w:r w:rsidR="007F2835">
        <w:rPr>
          <w:rFonts w:ascii="Arial" w:hAnsi="Arial" w:cs="Arial"/>
          <w:b/>
          <w:bCs/>
          <w:sz w:val="24"/>
        </w:rPr>
        <w:t xml:space="preserve">DC and </w:t>
      </w:r>
      <w:r w:rsidR="002778CC">
        <w:rPr>
          <w:rFonts w:ascii="Arial" w:hAnsi="Arial" w:cs="Arial"/>
          <w:b/>
          <w:bCs/>
          <w:sz w:val="24"/>
        </w:rPr>
        <w:t>NR-U</w:t>
      </w:r>
    </w:p>
    <w:p w14:paraId="1F147C23" w14:textId="4F03CB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778CC" w:rsidRPr="002778CC">
        <w:rPr>
          <w:rFonts w:ascii="Arial" w:hAnsi="Arial" w:cs="Arial"/>
          <w:b/>
          <w:bCs/>
          <w:sz w:val="24"/>
        </w:rPr>
        <w:t xml:space="preserve">NR_unlic-Core </w:t>
      </w:r>
      <w:r>
        <w:rPr>
          <w:rFonts w:ascii="Arial" w:hAnsi="Arial" w:cs="Arial"/>
          <w:b/>
          <w:bCs/>
          <w:sz w:val="24"/>
        </w:rPr>
        <w:t>- Release 1</w:t>
      </w:r>
      <w:r w:rsidR="002778CC">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E7D0D41" w:rsidR="00A209D6" w:rsidRPr="006E13D1" w:rsidRDefault="002778CC" w:rsidP="00A209D6">
      <w:r>
        <w:t xml:space="preserve">The agreed WID on </w:t>
      </w:r>
      <w:r w:rsidRPr="002778CC">
        <w:rPr>
          <w:i/>
        </w:rPr>
        <w:t>NR-based Access to Unlicensed Spectrum</w:t>
      </w:r>
      <w:r>
        <w:t xml:space="preserve"> includes DC operation</w:t>
      </w:r>
      <w:r w:rsidR="00BD6DAF">
        <w:t>s</w:t>
      </w:r>
      <w:r>
        <w:t xml:space="preserve"> [</w:t>
      </w:r>
      <w:hyperlink r:id="rId12" w:history="1">
        <w:r w:rsidRPr="002778CC">
          <w:rPr>
            <w:rStyle w:val="Hyperlink"/>
          </w:rPr>
          <w:t>RP-182878</w:t>
        </w:r>
      </w:hyperlink>
      <w:r>
        <w:t>].</w:t>
      </w:r>
      <w:r w:rsidR="00BD6DAF">
        <w:t xml:space="preserve"> This contribution investigates bearer split operation and the challenges introduced by LBT.</w:t>
      </w:r>
    </w:p>
    <w:p w14:paraId="2BBFF540" w14:textId="7BB6A41B" w:rsidR="00A209D6" w:rsidRPr="006E13D1" w:rsidRDefault="00A209D6" w:rsidP="00A209D6">
      <w:pPr>
        <w:pStyle w:val="Heading1"/>
      </w:pPr>
      <w:r w:rsidRPr="006E13D1">
        <w:t>2</w:t>
      </w:r>
      <w:r w:rsidRPr="006E13D1">
        <w:tab/>
      </w:r>
      <w:r w:rsidR="002778CC">
        <w:t>Dual Connectivity</w:t>
      </w:r>
    </w:p>
    <w:p w14:paraId="75893301" w14:textId="30A8ECC1" w:rsidR="002778CC" w:rsidRDefault="002778CC" w:rsidP="00A209D6">
      <w:r>
        <w:t xml:space="preserve">DC was introduced in 3GPP Rel-12 and enhanced in Rel-13 to support split bearer operation in uplink. </w:t>
      </w:r>
      <w:r w:rsidRPr="002778CC">
        <w:t>When a bearer is split in uplink, a threshold is configured to govern how PDCP feeds data to lower layers for transmissions [</w:t>
      </w:r>
      <w:hyperlink r:id="rId13" w:history="1">
        <w:r w:rsidRPr="002778CC">
          <w:rPr>
            <w:rStyle w:val="Hyperlink"/>
          </w:rPr>
          <w:t>38.323</w:t>
        </w:r>
      </w:hyperlink>
      <w:r w:rsidRPr="002778CC">
        <w:t>]</w:t>
      </w:r>
      <w:r>
        <w:t>:</w:t>
      </w:r>
    </w:p>
    <w:tbl>
      <w:tblPr>
        <w:tblStyle w:val="TableGrid"/>
        <w:tblW w:w="0" w:type="auto"/>
        <w:tblLook w:val="04A0" w:firstRow="1" w:lastRow="0" w:firstColumn="1" w:lastColumn="0" w:noHBand="0" w:noVBand="1"/>
      </w:tblPr>
      <w:tblGrid>
        <w:gridCol w:w="9631"/>
      </w:tblGrid>
      <w:tr w:rsidR="002778CC" w14:paraId="77B375EC" w14:textId="77777777" w:rsidTr="002778CC">
        <w:tc>
          <w:tcPr>
            <w:tcW w:w="9631" w:type="dxa"/>
            <w:shd w:val="clear" w:color="auto" w:fill="F2F2F2" w:themeFill="background1" w:themeFillShade="F2"/>
          </w:tcPr>
          <w:p w14:paraId="7918AD30" w14:textId="77777777" w:rsidR="002778CC" w:rsidRDefault="002778CC" w:rsidP="002778CC">
            <w:pPr>
              <w:overflowPunct w:val="0"/>
              <w:autoSpaceDE w:val="0"/>
              <w:autoSpaceDN w:val="0"/>
              <w:adjustRightInd w:val="0"/>
              <w:textAlignment w:val="baseline"/>
              <w:rPr>
                <w:lang w:eastAsia="ko-KR"/>
              </w:rPr>
            </w:pPr>
          </w:p>
          <w:p w14:paraId="42B8FDD4" w14:textId="77777777" w:rsidR="002778CC" w:rsidRPr="001E6F1A" w:rsidRDefault="002778CC" w:rsidP="002778CC">
            <w:pPr>
              <w:rPr>
                <w:lang w:eastAsia="ko-KR"/>
              </w:rPr>
            </w:pPr>
            <w:r w:rsidRPr="001E6F1A">
              <w:rPr>
                <w:lang w:eastAsia="ko-KR"/>
              </w:rPr>
              <w:t>When submitting a PDCP PDU to lower layer, the transmitting PDCP entity shall:</w:t>
            </w:r>
          </w:p>
          <w:p w14:paraId="4DEE7D5D"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if the transmitting PDCP entity is associated with one RLC entity:</w:t>
            </w:r>
          </w:p>
          <w:p w14:paraId="514C4056" w14:textId="77777777" w:rsidR="002778CC" w:rsidRPr="001E6F1A" w:rsidRDefault="002778CC" w:rsidP="002778CC">
            <w:pPr>
              <w:ind w:left="851" w:hanging="284"/>
              <w:rPr>
                <w:lang w:eastAsia="ko-KR"/>
              </w:rPr>
            </w:pPr>
            <w:r w:rsidRPr="001E6F1A">
              <w:rPr>
                <w:lang w:eastAsia="ko-KR"/>
              </w:rPr>
              <w:t>-</w:t>
            </w:r>
            <w:r w:rsidRPr="001E6F1A">
              <w:rPr>
                <w:lang w:eastAsia="ko-KR"/>
              </w:rPr>
              <w:tab/>
              <w:t>submit the PDCP PDU to the associated RLC entity;</w:t>
            </w:r>
          </w:p>
          <w:p w14:paraId="754CFE21"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else, if the transmitting PDCP entity is associated with two RLC entities:</w:t>
            </w:r>
          </w:p>
          <w:p w14:paraId="25BE1E7E" w14:textId="77777777" w:rsidR="002778CC" w:rsidRPr="001E6F1A" w:rsidRDefault="002778CC" w:rsidP="002778CC">
            <w:pPr>
              <w:ind w:left="851" w:hanging="284"/>
              <w:rPr>
                <w:lang w:eastAsia="ko-KR"/>
              </w:rPr>
            </w:pPr>
            <w:r w:rsidRPr="001E6F1A">
              <w:rPr>
                <w:lang w:eastAsia="ko-KR"/>
              </w:rPr>
              <w:t>-</w:t>
            </w:r>
            <w:r w:rsidRPr="001E6F1A">
              <w:rPr>
                <w:lang w:eastAsia="ko-KR"/>
              </w:rPr>
              <w:tab/>
              <w:t xml:space="preserve">if the PDCP duplication is </w:t>
            </w:r>
            <w:r w:rsidRPr="001E6F1A">
              <w:t>activated:</w:t>
            </w:r>
          </w:p>
          <w:p w14:paraId="09A48DD6"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PDCP PDU is a PDCP Data PDU:</w:t>
            </w:r>
          </w:p>
          <w:p w14:paraId="08E1F7DA" w14:textId="77777777" w:rsidR="002778CC" w:rsidRPr="001E6F1A" w:rsidRDefault="002778CC" w:rsidP="002778CC">
            <w:pPr>
              <w:ind w:left="1418" w:hanging="284"/>
              <w:rPr>
                <w:lang w:eastAsia="ko-KR"/>
              </w:rPr>
            </w:pPr>
            <w:r w:rsidRPr="001E6F1A">
              <w:rPr>
                <w:lang w:eastAsia="ko-KR"/>
              </w:rPr>
              <w:t>-</w:t>
            </w:r>
            <w:r w:rsidRPr="001E6F1A">
              <w:rPr>
                <w:lang w:eastAsia="ko-KR"/>
              </w:rPr>
              <w:tab/>
              <w:t>duplicate the PDCP Data PDU and submit the PDCP Data PDU to both associated RLC entities;</w:t>
            </w:r>
          </w:p>
          <w:p w14:paraId="5FEE2702"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E5B5623"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Control PDU to the primary RLC entity;</w:t>
            </w:r>
          </w:p>
          <w:p w14:paraId="21045176" w14:textId="77777777" w:rsidR="002778CC" w:rsidRPr="001E6F1A" w:rsidRDefault="002778CC" w:rsidP="002778CC">
            <w:pPr>
              <w:ind w:left="851" w:hanging="284"/>
              <w:rPr>
                <w:lang w:eastAsia="ko-KR"/>
              </w:rPr>
            </w:pPr>
            <w:r w:rsidRPr="001E6F1A">
              <w:rPr>
                <w:lang w:eastAsia="ko-KR"/>
              </w:rPr>
              <w:t>-</w:t>
            </w:r>
            <w:r w:rsidRPr="001E6F1A">
              <w:rPr>
                <w:lang w:eastAsia="ko-KR"/>
              </w:rPr>
              <w:tab/>
              <w:t>else:</w:t>
            </w:r>
          </w:p>
          <w:p w14:paraId="3DB5E00D"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two associated RLC entities belong to the different Cell Groups; and</w:t>
            </w:r>
          </w:p>
          <w:p w14:paraId="056137CE"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 xml:space="preserve">if the total amount of PDCP data volume and RLC data volume pending for initial transmission (as specified in TS 38.322 [5]) in the two associated RLC entities is equal to or larger than </w:t>
            </w:r>
            <w:r w:rsidRPr="002778CC">
              <w:rPr>
                <w:b/>
                <w:i/>
                <w:color w:val="FF0000"/>
                <w:lang w:val="x-none" w:eastAsia="ko-KR"/>
              </w:rPr>
              <w:t>ul-DataSplitThreshold</w:t>
            </w:r>
            <w:r w:rsidRPr="002778CC">
              <w:rPr>
                <w:lang w:val="x-none" w:eastAsia="ko-KR"/>
              </w:rPr>
              <w:t>:</w:t>
            </w:r>
          </w:p>
          <w:p w14:paraId="7DA68E95"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either the primary RLC entity or the secondary RLC entity;</w:t>
            </w:r>
          </w:p>
          <w:p w14:paraId="79B8E588"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54A98E7"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the primary RLC entity.</w:t>
            </w:r>
          </w:p>
          <w:p w14:paraId="36DDD7FA" w14:textId="77777777" w:rsidR="002778CC" w:rsidRDefault="002778CC" w:rsidP="00A209D6"/>
        </w:tc>
      </w:tr>
    </w:tbl>
    <w:p w14:paraId="03B3BC6E" w14:textId="23FCF6B2" w:rsidR="002778CC" w:rsidRDefault="002778CC" w:rsidP="00A209D6"/>
    <w:p w14:paraId="3BCEF04E" w14:textId="451B8B6B" w:rsidR="00BD6DAF" w:rsidRDefault="005F5A6C" w:rsidP="00A209D6">
      <w:r>
        <w:t xml:space="preserve">Basically, </w:t>
      </w:r>
      <w:r w:rsidR="007F2835">
        <w:t xml:space="preserve">only </w:t>
      </w:r>
      <w:r>
        <w:t>w</w:t>
      </w:r>
      <w:r w:rsidR="00BD6DAF">
        <w:t xml:space="preserve">hen the amount of data to transmit exceeds the threshold, both RLC entities are fed, </w:t>
      </w:r>
      <w:r w:rsidR="007F2835">
        <w:t>only the primary one is fed otherwise</w:t>
      </w:r>
      <w:r w:rsidR="00BD6DAF">
        <w:t>.</w:t>
      </w:r>
    </w:p>
    <w:p w14:paraId="4F547731" w14:textId="62C27E58" w:rsidR="00A209D6" w:rsidRPr="006E13D1" w:rsidRDefault="005F5A6C" w:rsidP="005F5A6C">
      <w:pPr>
        <w:pStyle w:val="NO"/>
      </w:pPr>
      <w:r>
        <w:t>NOTE:</w:t>
      </w:r>
      <w:r>
        <w:tab/>
        <w:t xml:space="preserve">having uplink split bearer from the </w:t>
      </w:r>
      <w:r w:rsidR="007F2835">
        <w:t>first NR release</w:t>
      </w:r>
      <w:r>
        <w:t xml:space="preserve"> allowed DC operations to be simplified compared to LTE (where an additional parameter </w:t>
      </w:r>
      <w:r w:rsidR="007F2835">
        <w:t>wa</w:t>
      </w:r>
      <w:r>
        <w:t xml:space="preserve">s needed). </w:t>
      </w:r>
    </w:p>
    <w:p w14:paraId="766D6D29" w14:textId="1137FE13" w:rsidR="00A209D6" w:rsidRDefault="00A209D6" w:rsidP="00A209D6">
      <w:pPr>
        <w:pStyle w:val="Heading1"/>
      </w:pPr>
      <w:r w:rsidRPr="006E13D1">
        <w:t>3</w:t>
      </w:r>
      <w:r w:rsidRPr="006E13D1">
        <w:tab/>
      </w:r>
      <w:r w:rsidR="005F5A6C">
        <w:t>LBT</w:t>
      </w:r>
      <w:r w:rsidR="00D6226F">
        <w:t xml:space="preserve"> Impacts</w:t>
      </w:r>
    </w:p>
    <w:p w14:paraId="3E4A8863" w14:textId="3E4DA6D9" w:rsidR="005F5A6C" w:rsidRDefault="005F5A6C" w:rsidP="005F5A6C">
      <w:r>
        <w:t>LBT affects the throughput available when operating in unlicensed spectrum</w:t>
      </w:r>
      <w:r w:rsidR="00D6226F">
        <w:t>. Let us consider an example where only one of the CG in DC uses unlicensed spectrum</w:t>
      </w:r>
      <w:r w:rsidR="005701A0">
        <w:t xml:space="preserve"> as depicted in Table 3-1 below</w:t>
      </w:r>
      <w:r w:rsidR="00D6226F">
        <w:t>:</w:t>
      </w:r>
    </w:p>
    <w:p w14:paraId="3E880B59" w14:textId="2BA5CE0F" w:rsidR="005F5A6C" w:rsidRPr="006E13D1" w:rsidRDefault="005F5A6C" w:rsidP="005F5A6C">
      <w:pPr>
        <w:pStyle w:val="TH"/>
      </w:pPr>
      <w:r w:rsidRPr="006E13D1">
        <w:t xml:space="preserve">Table </w:t>
      </w:r>
      <w:r w:rsidR="005701A0">
        <w:t>3-1</w:t>
      </w:r>
      <w:r w:rsidRPr="006E13D1">
        <w:t xml:space="preserve">: </w:t>
      </w:r>
      <w:r>
        <w:t>DC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5386"/>
      </w:tblGrid>
      <w:tr w:rsidR="005F5A6C" w:rsidRPr="006E13D1" w14:paraId="4B99AFF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1871ADE" w14:textId="4D8B6CAF" w:rsidR="005F5A6C" w:rsidRPr="006E13D1" w:rsidRDefault="005F5A6C" w:rsidP="004F4CEF">
            <w:pPr>
              <w:pStyle w:val="TAH"/>
              <w:spacing w:before="20" w:after="20"/>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04283252" w14:textId="228AC692" w:rsidR="005F5A6C" w:rsidRPr="006E13D1" w:rsidRDefault="005F5A6C" w:rsidP="004F4CEF">
            <w:pPr>
              <w:pStyle w:val="TAH"/>
              <w:spacing w:before="20" w:after="20"/>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151F373A" w14:textId="46301A4D" w:rsidR="005F5A6C" w:rsidRPr="006E13D1" w:rsidRDefault="005F5A6C" w:rsidP="004F4CEF">
            <w:pPr>
              <w:pStyle w:val="TAH"/>
              <w:spacing w:before="20" w:after="20"/>
              <w:ind w:left="57" w:right="57"/>
            </w:pPr>
            <w:r>
              <w:t>Primary CG</w:t>
            </w:r>
          </w:p>
        </w:tc>
        <w:tc>
          <w:tcPr>
            <w:tcW w:w="5386" w:type="dxa"/>
            <w:tcBorders>
              <w:top w:val="single" w:sz="4" w:space="0" w:color="auto"/>
              <w:left w:val="single" w:sz="4" w:space="0" w:color="auto"/>
              <w:bottom w:val="single" w:sz="4" w:space="0" w:color="auto"/>
              <w:right w:val="single" w:sz="4" w:space="0" w:color="auto"/>
            </w:tcBorders>
            <w:noWrap/>
            <w:vAlign w:val="bottom"/>
          </w:tcPr>
          <w:p w14:paraId="699671D4" w14:textId="49B89AFB" w:rsidR="005F5A6C" w:rsidRPr="006E13D1" w:rsidRDefault="005F5A6C" w:rsidP="005F5A6C">
            <w:pPr>
              <w:pStyle w:val="TAH"/>
              <w:spacing w:before="20" w:after="20"/>
              <w:ind w:left="57" w:right="57"/>
              <w:jc w:val="left"/>
            </w:pPr>
            <w:r>
              <w:t>Comments</w:t>
            </w:r>
          </w:p>
        </w:tc>
      </w:tr>
      <w:tr w:rsidR="00D6226F" w:rsidRPr="006E13D1" w14:paraId="57C9F484" w14:textId="77777777" w:rsidTr="007F2835">
        <w:trPr>
          <w:trHeight w:val="240"/>
          <w:jc w:val="center"/>
        </w:trPr>
        <w:tc>
          <w:tcPr>
            <w:tcW w:w="1108" w:type="dxa"/>
            <w:tcBorders>
              <w:top w:val="single" w:sz="4" w:space="0" w:color="auto"/>
            </w:tcBorders>
          </w:tcPr>
          <w:p w14:paraId="754499EB" w14:textId="77777777" w:rsidR="00D6226F" w:rsidRPr="005F5A6C" w:rsidRDefault="00D6226F" w:rsidP="004F4CEF">
            <w:pPr>
              <w:pStyle w:val="TAC"/>
            </w:pPr>
            <w:r w:rsidRPr="005F5A6C">
              <w:t>Licensed</w:t>
            </w:r>
          </w:p>
        </w:tc>
        <w:tc>
          <w:tcPr>
            <w:tcW w:w="1276" w:type="dxa"/>
            <w:tcBorders>
              <w:top w:val="single" w:sz="4" w:space="0" w:color="auto"/>
            </w:tcBorders>
            <w:noWrap/>
          </w:tcPr>
          <w:p w14:paraId="63D1D33D" w14:textId="77777777" w:rsidR="00D6226F" w:rsidRPr="005F5A6C" w:rsidRDefault="00D6226F" w:rsidP="004F4CEF">
            <w:pPr>
              <w:pStyle w:val="TAC"/>
            </w:pPr>
            <w:r w:rsidRPr="005F5A6C">
              <w:t>Unlicensed</w:t>
            </w:r>
          </w:p>
        </w:tc>
        <w:tc>
          <w:tcPr>
            <w:tcW w:w="1298" w:type="dxa"/>
            <w:tcBorders>
              <w:top w:val="single" w:sz="4" w:space="0" w:color="auto"/>
            </w:tcBorders>
          </w:tcPr>
          <w:p w14:paraId="03A1C991" w14:textId="77777777" w:rsidR="00D6226F" w:rsidRPr="005F5A6C" w:rsidRDefault="00D6226F" w:rsidP="004F4CEF">
            <w:pPr>
              <w:pStyle w:val="TAC"/>
            </w:pPr>
            <w:r>
              <w:t>MCG</w:t>
            </w:r>
          </w:p>
        </w:tc>
        <w:tc>
          <w:tcPr>
            <w:tcW w:w="5386" w:type="dxa"/>
            <w:tcBorders>
              <w:top w:val="single" w:sz="4" w:space="0" w:color="auto"/>
            </w:tcBorders>
            <w:noWrap/>
          </w:tcPr>
          <w:p w14:paraId="70BE838F" w14:textId="77777777" w:rsidR="00D6226F" w:rsidRPr="005F5A6C" w:rsidRDefault="00D6226F" w:rsidP="00D6226F">
            <w:pPr>
              <w:pStyle w:val="TAC"/>
              <w:ind w:left="83" w:right="137"/>
              <w:jc w:val="left"/>
            </w:pPr>
            <w:r w:rsidRPr="005F5A6C">
              <w:t>Once the threshold is exceeded, SCG transmission will start even though LBT failures may delay the packets, therefore reducing the overall throughput because of reordering.</w:t>
            </w:r>
          </w:p>
        </w:tc>
      </w:tr>
      <w:tr w:rsidR="005F5A6C" w:rsidRPr="006E13D1" w14:paraId="0A5CFEC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F4B6707" w14:textId="181A14FB" w:rsidR="005F5A6C" w:rsidRPr="005F5A6C" w:rsidRDefault="005F5A6C" w:rsidP="005F5A6C">
            <w:pPr>
              <w:pStyle w:val="TAC"/>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6200DB1E" w14:textId="6DA41C69" w:rsidR="005F5A6C" w:rsidRPr="005F5A6C" w:rsidRDefault="005F5A6C" w:rsidP="005F5A6C">
            <w:pPr>
              <w:pStyle w:val="TAC"/>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55E2EACF" w14:textId="1C440C5A" w:rsidR="005F5A6C" w:rsidRPr="005F5A6C" w:rsidRDefault="00D6226F" w:rsidP="005F5A6C">
            <w:pPr>
              <w:pStyle w:val="TAC"/>
            </w:pPr>
            <w:r>
              <w:t>SCG</w:t>
            </w:r>
          </w:p>
        </w:tc>
        <w:tc>
          <w:tcPr>
            <w:tcW w:w="5386" w:type="dxa"/>
            <w:tcBorders>
              <w:top w:val="single" w:sz="4" w:space="0" w:color="auto"/>
              <w:left w:val="single" w:sz="4" w:space="0" w:color="auto"/>
              <w:bottom w:val="single" w:sz="4" w:space="0" w:color="auto"/>
              <w:right w:val="single" w:sz="4" w:space="0" w:color="auto"/>
            </w:tcBorders>
            <w:noWrap/>
          </w:tcPr>
          <w:p w14:paraId="7D56EA07" w14:textId="6E2B9D39" w:rsidR="005F5A6C" w:rsidRPr="005F5A6C" w:rsidRDefault="005F5A6C" w:rsidP="00D6226F">
            <w:pPr>
              <w:pStyle w:val="TAC"/>
              <w:ind w:left="83" w:right="137"/>
              <w:jc w:val="left"/>
            </w:pPr>
            <w:r w:rsidRPr="005F5A6C">
              <w:t>When the available throughput in SCG decreases due to LBT, transmission in MCG will only start once the threshold is exceeded, introducing additional delays.</w:t>
            </w:r>
          </w:p>
        </w:tc>
      </w:tr>
      <w:tr w:rsidR="00D6226F" w:rsidRPr="006E13D1" w14:paraId="4BEA5B8F" w14:textId="77777777" w:rsidTr="007F2835">
        <w:trPr>
          <w:trHeight w:val="240"/>
          <w:jc w:val="center"/>
        </w:trPr>
        <w:tc>
          <w:tcPr>
            <w:tcW w:w="1108" w:type="dxa"/>
          </w:tcPr>
          <w:p w14:paraId="1B166DD5" w14:textId="77777777" w:rsidR="00D6226F" w:rsidRPr="005F5A6C" w:rsidRDefault="00D6226F" w:rsidP="004F4CEF">
            <w:pPr>
              <w:pStyle w:val="TAC"/>
            </w:pPr>
            <w:r w:rsidRPr="005F5A6C">
              <w:t>Unlicensed</w:t>
            </w:r>
          </w:p>
        </w:tc>
        <w:tc>
          <w:tcPr>
            <w:tcW w:w="1276" w:type="dxa"/>
            <w:noWrap/>
          </w:tcPr>
          <w:p w14:paraId="46804FC2" w14:textId="77777777" w:rsidR="00D6226F" w:rsidRPr="005F5A6C" w:rsidRDefault="00D6226F" w:rsidP="004F4CEF">
            <w:pPr>
              <w:pStyle w:val="TAC"/>
            </w:pPr>
            <w:r w:rsidRPr="005F5A6C">
              <w:t>Licensed</w:t>
            </w:r>
          </w:p>
        </w:tc>
        <w:tc>
          <w:tcPr>
            <w:tcW w:w="1298" w:type="dxa"/>
          </w:tcPr>
          <w:p w14:paraId="438094FA" w14:textId="77777777" w:rsidR="00D6226F" w:rsidRPr="005F5A6C" w:rsidRDefault="00D6226F" w:rsidP="004F4CEF">
            <w:pPr>
              <w:pStyle w:val="TAC"/>
            </w:pPr>
            <w:r>
              <w:t>MCG</w:t>
            </w:r>
          </w:p>
        </w:tc>
        <w:tc>
          <w:tcPr>
            <w:tcW w:w="5386" w:type="dxa"/>
            <w:noWrap/>
          </w:tcPr>
          <w:p w14:paraId="36E009F2" w14:textId="235CDDFB" w:rsidR="00D6226F" w:rsidRPr="005F5A6C" w:rsidRDefault="00D6226F" w:rsidP="00D6226F">
            <w:pPr>
              <w:pStyle w:val="TAC"/>
              <w:ind w:left="83" w:right="137"/>
              <w:jc w:val="left"/>
            </w:pPr>
            <w:r w:rsidRPr="005F5A6C">
              <w:t xml:space="preserve">When the available throughput in </w:t>
            </w:r>
            <w:r>
              <w:t>M</w:t>
            </w:r>
            <w:r w:rsidRPr="005F5A6C">
              <w:t>CG decreases due to LBT, transmission in SCG will only start once the threshold is exceeded, introducing additional delays.</w:t>
            </w:r>
          </w:p>
        </w:tc>
      </w:tr>
      <w:tr w:rsidR="005F5A6C" w:rsidRPr="006E13D1" w14:paraId="68BBADFD" w14:textId="77777777" w:rsidTr="007F2835">
        <w:trPr>
          <w:trHeight w:val="240"/>
          <w:jc w:val="center"/>
        </w:trPr>
        <w:tc>
          <w:tcPr>
            <w:tcW w:w="1108" w:type="dxa"/>
            <w:tcBorders>
              <w:top w:val="single" w:sz="4" w:space="0" w:color="auto"/>
            </w:tcBorders>
          </w:tcPr>
          <w:p w14:paraId="06A569B9" w14:textId="033D7646" w:rsidR="005F5A6C" w:rsidRPr="005F5A6C" w:rsidRDefault="005F5A6C" w:rsidP="005F5A6C">
            <w:pPr>
              <w:pStyle w:val="TAC"/>
            </w:pPr>
            <w:r w:rsidRPr="005F5A6C">
              <w:t>Unlicensed</w:t>
            </w:r>
          </w:p>
        </w:tc>
        <w:tc>
          <w:tcPr>
            <w:tcW w:w="1276" w:type="dxa"/>
            <w:tcBorders>
              <w:top w:val="single" w:sz="4" w:space="0" w:color="auto"/>
            </w:tcBorders>
            <w:noWrap/>
          </w:tcPr>
          <w:p w14:paraId="12D580AD" w14:textId="67EF1041" w:rsidR="005F5A6C" w:rsidRPr="005F5A6C" w:rsidRDefault="005F5A6C" w:rsidP="005F5A6C">
            <w:pPr>
              <w:pStyle w:val="TAC"/>
            </w:pPr>
            <w:r w:rsidRPr="005F5A6C">
              <w:t>Licensed</w:t>
            </w:r>
          </w:p>
        </w:tc>
        <w:tc>
          <w:tcPr>
            <w:tcW w:w="1298" w:type="dxa"/>
            <w:tcBorders>
              <w:top w:val="single" w:sz="4" w:space="0" w:color="auto"/>
            </w:tcBorders>
          </w:tcPr>
          <w:p w14:paraId="23B6359B" w14:textId="3A4020E6" w:rsidR="005F5A6C" w:rsidRPr="005F5A6C" w:rsidRDefault="00D6226F" w:rsidP="005F5A6C">
            <w:pPr>
              <w:pStyle w:val="TAC"/>
            </w:pPr>
            <w:r>
              <w:t>SCG</w:t>
            </w:r>
          </w:p>
        </w:tc>
        <w:tc>
          <w:tcPr>
            <w:tcW w:w="5386" w:type="dxa"/>
            <w:tcBorders>
              <w:top w:val="single" w:sz="4" w:space="0" w:color="auto"/>
            </w:tcBorders>
            <w:noWrap/>
          </w:tcPr>
          <w:p w14:paraId="20333D19" w14:textId="75CA8526" w:rsidR="005F5A6C" w:rsidRPr="005F5A6C" w:rsidRDefault="005F5A6C" w:rsidP="00D6226F">
            <w:pPr>
              <w:pStyle w:val="TAC"/>
              <w:ind w:left="83" w:right="137"/>
              <w:jc w:val="left"/>
            </w:pPr>
            <w:r w:rsidRPr="005F5A6C">
              <w:t>Once the threshold is exceeded, MCG transmission will start even though LBT failures may delay the packets, therefore reducing the overall throughput because of reordering.</w:t>
            </w:r>
          </w:p>
        </w:tc>
      </w:tr>
    </w:tbl>
    <w:p w14:paraId="1A511E93" w14:textId="2B187FE4" w:rsidR="005F5A6C" w:rsidRDefault="005F5A6C" w:rsidP="005F5A6C"/>
    <w:p w14:paraId="52932453" w14:textId="642E13A3" w:rsidR="005F5A6C" w:rsidRDefault="005F5A6C" w:rsidP="005F5A6C">
      <w:r>
        <w:t xml:space="preserve">As can be seen from the </w:t>
      </w:r>
      <w:r w:rsidR="00D6226F">
        <w:t>table</w:t>
      </w:r>
      <w:r>
        <w:t xml:space="preserve"> above, the threshold-based mechanism is too rigid for operating in unlicensed spectrum involving LBT: it increases delay and reduces overall throughput.</w:t>
      </w:r>
    </w:p>
    <w:p w14:paraId="56B45158" w14:textId="3DB58F9E" w:rsidR="00D6226F" w:rsidRPr="005F5A6C" w:rsidRDefault="00D6226F" w:rsidP="005F5A6C">
      <w:r w:rsidRPr="00D6226F">
        <w:rPr>
          <w:b/>
        </w:rPr>
        <w:t>Observation 1</w:t>
      </w:r>
      <w:r>
        <w:t>: the threshold-based mechanism of DC is too rigid for operating in unlicensed spectrum involving LBT; it increases delay and reduces overall throughput.</w:t>
      </w:r>
    </w:p>
    <w:p w14:paraId="5F01C058" w14:textId="38CA614B" w:rsidR="00A209D6" w:rsidRPr="006E13D1" w:rsidRDefault="00D6226F" w:rsidP="00D6226F">
      <w:pPr>
        <w:pStyle w:val="Heading1"/>
      </w:pPr>
      <w:r>
        <w:t>4</w:t>
      </w:r>
      <w:r>
        <w:tab/>
        <w:t>Dynamic Threshold</w:t>
      </w:r>
    </w:p>
    <w:p w14:paraId="540FE2D4" w14:textId="77777777" w:rsidR="005701A0" w:rsidRDefault="00715C5C" w:rsidP="00A209D6">
      <w:r>
        <w:t xml:space="preserve">In order to circumvent the problems described above, </w:t>
      </w:r>
      <w:r w:rsidR="005701A0">
        <w:t xml:space="preserve">we suggest </w:t>
      </w:r>
      <w:r w:rsidR="005701A0" w:rsidRPr="005701A0">
        <w:t>reflecting LBT failures in the threshold for uplink bearer split operation involving unlicensed spectrum</w:t>
      </w:r>
      <w:r w:rsidR="005701A0">
        <w:t xml:space="preserve">. </w:t>
      </w:r>
    </w:p>
    <w:p w14:paraId="7400E605" w14:textId="77777777" w:rsidR="005701A0" w:rsidRDefault="005701A0" w:rsidP="005701A0">
      <w:r w:rsidRPr="005701A0">
        <w:rPr>
          <w:b/>
        </w:rPr>
        <w:t>Proposal 1</w:t>
      </w:r>
      <w:r>
        <w:t>: reflect LBT failures into the threshold.</w:t>
      </w:r>
    </w:p>
    <w:p w14:paraId="3D8F102B" w14:textId="5E4A2963" w:rsidR="005701A0" w:rsidRDefault="005701A0" w:rsidP="00A209D6">
      <w:r>
        <w:t xml:space="preserve">When the primary path operates in unlicensed spectrum, LBT failures on that path should reduce the threshold. Conversely, when the primary path operates in licensed spectrum, LBT failures on the other path operating on unlicensed spectrum should increase the threshold. </w:t>
      </w:r>
      <w:r w:rsidRPr="005701A0">
        <w:t>When both paths operate in unlicensed spectrum, increased LBT failures on the primar</w:t>
      </w:r>
      <w:r>
        <w:t>y</w:t>
      </w:r>
      <w:r w:rsidRPr="005701A0">
        <w:t xml:space="preserve"> path </w:t>
      </w:r>
      <w:r>
        <w:t>should reduce the threshold</w:t>
      </w:r>
      <w:r w:rsidRPr="005701A0">
        <w:t xml:space="preserve"> while increased LBT failures on the other path </w:t>
      </w:r>
      <w:r>
        <w:t>should increase the threshold</w:t>
      </w:r>
      <w:r w:rsidRPr="005701A0">
        <w:t>.</w:t>
      </w:r>
      <w:r>
        <w:t xml:space="preserve"> This is summarized in Table 4-1 below.</w:t>
      </w:r>
    </w:p>
    <w:p w14:paraId="6DB8BB94" w14:textId="1E76F7CA" w:rsidR="005701A0" w:rsidRPr="006E13D1" w:rsidRDefault="005701A0" w:rsidP="005701A0">
      <w:pPr>
        <w:pStyle w:val="TH"/>
      </w:pPr>
      <w:r w:rsidRPr="006E13D1">
        <w:t xml:space="preserve">Table </w:t>
      </w:r>
      <w:r>
        <w:t>4-1</w:t>
      </w:r>
      <w:r w:rsidRPr="006E13D1">
        <w:t xml:space="preserve">: </w:t>
      </w:r>
      <w:r>
        <w:t>Split Bearer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4110"/>
      </w:tblGrid>
      <w:tr w:rsidR="005701A0" w:rsidRPr="006E13D1" w14:paraId="38BADF72"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30119E5" w14:textId="77777777" w:rsidR="005701A0" w:rsidRPr="006E13D1" w:rsidRDefault="005701A0" w:rsidP="00834299">
            <w:pPr>
              <w:pStyle w:val="TAH"/>
              <w:spacing w:beforeLines="20" w:before="48" w:afterLines="20" w:after="48"/>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3C4B4D38" w14:textId="77777777" w:rsidR="005701A0" w:rsidRPr="006E13D1" w:rsidRDefault="005701A0" w:rsidP="00834299">
            <w:pPr>
              <w:pStyle w:val="TAH"/>
              <w:spacing w:beforeLines="20" w:before="48" w:afterLines="20" w:after="48"/>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2FDE2DD1" w14:textId="77777777" w:rsidR="005701A0" w:rsidRPr="006E13D1" w:rsidRDefault="005701A0" w:rsidP="00834299">
            <w:pPr>
              <w:pStyle w:val="TAH"/>
              <w:spacing w:beforeLines="20" w:before="48" w:afterLines="20" w:after="48"/>
              <w:ind w:left="57" w:right="57"/>
            </w:pPr>
            <w:r>
              <w:t>Primary CG</w:t>
            </w:r>
          </w:p>
        </w:tc>
        <w:tc>
          <w:tcPr>
            <w:tcW w:w="4110" w:type="dxa"/>
            <w:tcBorders>
              <w:top w:val="single" w:sz="4" w:space="0" w:color="auto"/>
              <w:left w:val="single" w:sz="4" w:space="0" w:color="auto"/>
              <w:bottom w:val="single" w:sz="4" w:space="0" w:color="auto"/>
              <w:right w:val="single" w:sz="4" w:space="0" w:color="auto"/>
            </w:tcBorders>
            <w:noWrap/>
            <w:vAlign w:val="bottom"/>
          </w:tcPr>
          <w:p w14:paraId="799087E9" w14:textId="77777777" w:rsidR="005701A0" w:rsidRPr="006E13D1" w:rsidRDefault="005701A0" w:rsidP="00834299">
            <w:pPr>
              <w:pStyle w:val="TAH"/>
              <w:spacing w:beforeLines="20" w:before="48" w:afterLines="20" w:after="48"/>
              <w:ind w:left="57" w:right="57"/>
              <w:jc w:val="left"/>
            </w:pPr>
            <w:r>
              <w:t>Comments</w:t>
            </w:r>
          </w:p>
        </w:tc>
      </w:tr>
      <w:tr w:rsidR="005701A0" w:rsidRPr="006E13D1" w14:paraId="2E9799CE" w14:textId="77777777" w:rsidTr="007F2835">
        <w:trPr>
          <w:trHeight w:val="240"/>
          <w:jc w:val="center"/>
        </w:trPr>
        <w:tc>
          <w:tcPr>
            <w:tcW w:w="1108" w:type="dxa"/>
            <w:tcBorders>
              <w:top w:val="single" w:sz="4" w:space="0" w:color="auto"/>
            </w:tcBorders>
          </w:tcPr>
          <w:p w14:paraId="741ADE2B" w14:textId="77777777" w:rsidR="005701A0" w:rsidRPr="005F5A6C" w:rsidRDefault="005701A0" w:rsidP="00834299">
            <w:pPr>
              <w:pStyle w:val="TAC"/>
              <w:spacing w:beforeLines="20" w:before="48" w:afterLines="20" w:after="48"/>
            </w:pPr>
            <w:r w:rsidRPr="005F5A6C">
              <w:t>Licensed</w:t>
            </w:r>
          </w:p>
        </w:tc>
        <w:tc>
          <w:tcPr>
            <w:tcW w:w="1276" w:type="dxa"/>
            <w:tcBorders>
              <w:top w:val="single" w:sz="4" w:space="0" w:color="auto"/>
            </w:tcBorders>
            <w:noWrap/>
          </w:tcPr>
          <w:p w14:paraId="45CA1BF2" w14:textId="77777777"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tcBorders>
          </w:tcPr>
          <w:p w14:paraId="759EE45C" w14:textId="77777777" w:rsidR="005701A0" w:rsidRPr="005F5A6C" w:rsidRDefault="005701A0" w:rsidP="00834299">
            <w:pPr>
              <w:pStyle w:val="TAC"/>
              <w:spacing w:beforeLines="20" w:before="48" w:afterLines="20" w:after="48"/>
            </w:pPr>
            <w:r>
              <w:t>MCG</w:t>
            </w:r>
          </w:p>
        </w:tc>
        <w:tc>
          <w:tcPr>
            <w:tcW w:w="4110" w:type="dxa"/>
            <w:tcBorders>
              <w:top w:val="single" w:sz="4" w:space="0" w:color="auto"/>
            </w:tcBorders>
            <w:noWrap/>
          </w:tcPr>
          <w:p w14:paraId="6BAB8844" w14:textId="05AE18F3" w:rsidR="005701A0" w:rsidRPr="005F5A6C" w:rsidRDefault="005701A0" w:rsidP="00834299">
            <w:pPr>
              <w:pStyle w:val="TAC"/>
              <w:spacing w:beforeLines="20" w:before="48" w:afterLines="20" w:after="48"/>
              <w:ind w:left="83" w:right="137"/>
              <w:jc w:val="left"/>
            </w:pPr>
            <w:r>
              <w:t>LBT failures on SCG increase the threshold</w:t>
            </w:r>
          </w:p>
        </w:tc>
      </w:tr>
      <w:tr w:rsidR="005701A0" w:rsidRPr="006E13D1" w14:paraId="151ADE09"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8F44C7B" w14:textId="77777777" w:rsidR="005701A0" w:rsidRPr="005F5A6C" w:rsidRDefault="005701A0" w:rsidP="00834299">
            <w:pPr>
              <w:pStyle w:val="TAC"/>
              <w:spacing w:beforeLines="20" w:before="48" w:afterLines="20" w:after="48"/>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1F26B997" w14:textId="77777777"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2BAAA475" w14:textId="77777777" w:rsidR="005701A0" w:rsidRPr="005F5A6C" w:rsidRDefault="005701A0" w:rsidP="00834299">
            <w:pPr>
              <w:pStyle w:val="TAC"/>
              <w:spacing w:beforeLines="20" w:before="48" w:afterLines="20" w:after="48"/>
            </w:pPr>
            <w:r>
              <w:t>SCG</w:t>
            </w:r>
          </w:p>
        </w:tc>
        <w:tc>
          <w:tcPr>
            <w:tcW w:w="4110" w:type="dxa"/>
            <w:tcBorders>
              <w:top w:val="single" w:sz="4" w:space="0" w:color="auto"/>
              <w:left w:val="single" w:sz="4" w:space="0" w:color="auto"/>
              <w:bottom w:val="single" w:sz="4" w:space="0" w:color="auto"/>
              <w:right w:val="single" w:sz="4" w:space="0" w:color="auto"/>
            </w:tcBorders>
            <w:noWrap/>
          </w:tcPr>
          <w:p w14:paraId="4C73E4BC" w14:textId="647035B3" w:rsidR="005701A0" w:rsidRPr="005F5A6C" w:rsidRDefault="005701A0" w:rsidP="00834299">
            <w:pPr>
              <w:pStyle w:val="TAC"/>
              <w:spacing w:beforeLines="20" w:before="48" w:afterLines="20" w:after="48"/>
              <w:ind w:left="83" w:right="137"/>
              <w:jc w:val="left"/>
            </w:pPr>
            <w:r>
              <w:t>LBT failures on SCG decrease the threshold</w:t>
            </w:r>
          </w:p>
        </w:tc>
      </w:tr>
      <w:tr w:rsidR="005701A0" w:rsidRPr="006E13D1" w14:paraId="7AF9328A" w14:textId="77777777" w:rsidTr="007F2835">
        <w:trPr>
          <w:trHeight w:val="240"/>
          <w:jc w:val="center"/>
        </w:trPr>
        <w:tc>
          <w:tcPr>
            <w:tcW w:w="1108" w:type="dxa"/>
          </w:tcPr>
          <w:p w14:paraId="42C4BBA9" w14:textId="77777777" w:rsidR="005701A0" w:rsidRPr="005F5A6C" w:rsidRDefault="005701A0" w:rsidP="00834299">
            <w:pPr>
              <w:pStyle w:val="TAC"/>
              <w:spacing w:beforeLines="20" w:before="48" w:afterLines="20" w:after="48"/>
            </w:pPr>
            <w:r w:rsidRPr="005F5A6C">
              <w:t>Unlicensed</w:t>
            </w:r>
          </w:p>
        </w:tc>
        <w:tc>
          <w:tcPr>
            <w:tcW w:w="1276" w:type="dxa"/>
            <w:noWrap/>
          </w:tcPr>
          <w:p w14:paraId="10602BAC" w14:textId="77777777" w:rsidR="005701A0" w:rsidRPr="005F5A6C" w:rsidRDefault="005701A0" w:rsidP="00834299">
            <w:pPr>
              <w:pStyle w:val="TAC"/>
              <w:spacing w:beforeLines="20" w:before="48" w:afterLines="20" w:after="48"/>
            </w:pPr>
            <w:r w:rsidRPr="005F5A6C">
              <w:t>Licensed</w:t>
            </w:r>
          </w:p>
        </w:tc>
        <w:tc>
          <w:tcPr>
            <w:tcW w:w="1298" w:type="dxa"/>
          </w:tcPr>
          <w:p w14:paraId="547820D4" w14:textId="77777777" w:rsidR="005701A0" w:rsidRPr="005F5A6C" w:rsidRDefault="005701A0" w:rsidP="00834299">
            <w:pPr>
              <w:pStyle w:val="TAC"/>
              <w:spacing w:beforeLines="20" w:before="48" w:afterLines="20" w:after="48"/>
            </w:pPr>
            <w:r>
              <w:t>MCG</w:t>
            </w:r>
          </w:p>
        </w:tc>
        <w:tc>
          <w:tcPr>
            <w:tcW w:w="4110" w:type="dxa"/>
            <w:noWrap/>
          </w:tcPr>
          <w:p w14:paraId="1F903976" w14:textId="722D87F4" w:rsidR="005701A0" w:rsidRPr="005F5A6C" w:rsidRDefault="005701A0" w:rsidP="00834299">
            <w:pPr>
              <w:pStyle w:val="TAC"/>
              <w:spacing w:beforeLines="20" w:before="48" w:afterLines="20" w:after="48"/>
              <w:ind w:left="83" w:right="137"/>
              <w:jc w:val="left"/>
            </w:pPr>
            <w:r>
              <w:t>LBT failures on MCG decrease the threshold</w:t>
            </w:r>
          </w:p>
        </w:tc>
      </w:tr>
      <w:tr w:rsidR="005701A0" w:rsidRPr="006E13D1" w14:paraId="053860B8" w14:textId="77777777" w:rsidTr="007F2835">
        <w:trPr>
          <w:trHeight w:val="240"/>
          <w:jc w:val="center"/>
        </w:trPr>
        <w:tc>
          <w:tcPr>
            <w:tcW w:w="1108" w:type="dxa"/>
            <w:tcBorders>
              <w:top w:val="single" w:sz="4" w:space="0" w:color="auto"/>
            </w:tcBorders>
          </w:tcPr>
          <w:p w14:paraId="4514CDB2"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tcBorders>
            <w:noWrap/>
          </w:tcPr>
          <w:p w14:paraId="4A23FF5A" w14:textId="77777777" w:rsidR="005701A0" w:rsidRPr="005F5A6C" w:rsidRDefault="005701A0" w:rsidP="00834299">
            <w:pPr>
              <w:pStyle w:val="TAC"/>
              <w:spacing w:beforeLines="20" w:before="48" w:afterLines="20" w:after="48"/>
            </w:pPr>
            <w:r w:rsidRPr="005F5A6C">
              <w:t>Licensed</w:t>
            </w:r>
          </w:p>
        </w:tc>
        <w:tc>
          <w:tcPr>
            <w:tcW w:w="1298" w:type="dxa"/>
            <w:tcBorders>
              <w:top w:val="single" w:sz="4" w:space="0" w:color="auto"/>
            </w:tcBorders>
          </w:tcPr>
          <w:p w14:paraId="620809CB" w14:textId="77777777" w:rsidR="005701A0" w:rsidRPr="005F5A6C" w:rsidRDefault="005701A0" w:rsidP="00834299">
            <w:pPr>
              <w:pStyle w:val="TAC"/>
              <w:spacing w:beforeLines="20" w:before="48" w:afterLines="20" w:after="48"/>
            </w:pPr>
            <w:r>
              <w:t>SCG</w:t>
            </w:r>
          </w:p>
        </w:tc>
        <w:tc>
          <w:tcPr>
            <w:tcW w:w="4110" w:type="dxa"/>
            <w:tcBorders>
              <w:top w:val="single" w:sz="4" w:space="0" w:color="auto"/>
            </w:tcBorders>
            <w:noWrap/>
          </w:tcPr>
          <w:p w14:paraId="696C9260" w14:textId="4ECBE96C" w:rsidR="005701A0" w:rsidRPr="005F5A6C" w:rsidRDefault="005701A0" w:rsidP="00834299">
            <w:pPr>
              <w:pStyle w:val="TAC"/>
              <w:spacing w:beforeLines="20" w:before="48" w:afterLines="20" w:after="48"/>
              <w:ind w:left="83" w:right="137"/>
              <w:jc w:val="left"/>
            </w:pPr>
            <w:r>
              <w:t>LBT failures on MCG</w:t>
            </w:r>
            <w:r w:rsidR="000B419A">
              <w:t xml:space="preserve"> increase the threshold</w:t>
            </w:r>
          </w:p>
        </w:tc>
      </w:tr>
      <w:tr w:rsidR="005701A0" w:rsidRPr="005F5A6C" w14:paraId="5742686A"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74AC6BE4"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5B406A9" w14:textId="2D35235D"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36704C8C" w14:textId="707F5A92" w:rsidR="005701A0" w:rsidRPr="005F5A6C" w:rsidRDefault="005701A0" w:rsidP="00834299">
            <w:pPr>
              <w:pStyle w:val="TAC"/>
              <w:spacing w:beforeLines="20" w:before="48" w:afterLines="20" w:after="48"/>
            </w:pPr>
            <w:r>
              <w:t>MCG</w:t>
            </w:r>
          </w:p>
        </w:tc>
        <w:tc>
          <w:tcPr>
            <w:tcW w:w="4110" w:type="dxa"/>
            <w:tcBorders>
              <w:top w:val="single" w:sz="4" w:space="0" w:color="auto"/>
              <w:left w:val="single" w:sz="6" w:space="0" w:color="auto"/>
              <w:bottom w:val="single" w:sz="6" w:space="0" w:color="auto"/>
              <w:right w:val="single" w:sz="6" w:space="0" w:color="auto"/>
            </w:tcBorders>
            <w:noWrap/>
          </w:tcPr>
          <w:p w14:paraId="13F6BC19" w14:textId="7026B961" w:rsidR="005701A0" w:rsidRDefault="000B419A" w:rsidP="00834299">
            <w:pPr>
              <w:pStyle w:val="TAC"/>
              <w:spacing w:beforeLines="20" w:before="48" w:afterLines="20" w:after="48"/>
              <w:ind w:left="83" w:right="137"/>
              <w:jc w:val="left"/>
            </w:pPr>
            <w:r>
              <w:t xml:space="preserve">LBT failures on MCG </w:t>
            </w:r>
            <w:r w:rsidR="007F2835">
              <w:t>decrease</w:t>
            </w:r>
            <w:r>
              <w:t xml:space="preserve"> the threshold</w:t>
            </w:r>
          </w:p>
          <w:p w14:paraId="0D3577D2" w14:textId="0FA9D699" w:rsidR="000B419A" w:rsidRPr="005F5A6C" w:rsidRDefault="000B419A" w:rsidP="00834299">
            <w:pPr>
              <w:pStyle w:val="TAC"/>
              <w:spacing w:beforeLines="20" w:before="48" w:afterLines="20" w:after="48"/>
              <w:ind w:left="83" w:right="137"/>
              <w:jc w:val="left"/>
            </w:pPr>
            <w:r>
              <w:t xml:space="preserve">LBT failures on SCG </w:t>
            </w:r>
            <w:r w:rsidR="007F2835">
              <w:t>increase</w:t>
            </w:r>
            <w:r>
              <w:t xml:space="preserve"> the threshold</w:t>
            </w:r>
          </w:p>
        </w:tc>
      </w:tr>
      <w:tr w:rsidR="005701A0" w:rsidRPr="005F5A6C" w14:paraId="4C6AD4C9"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591F0A5C"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6DD41E4" w14:textId="552B10EE"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413592D5" w14:textId="77777777" w:rsidR="005701A0" w:rsidRPr="005F5A6C" w:rsidRDefault="005701A0" w:rsidP="00834299">
            <w:pPr>
              <w:pStyle w:val="TAC"/>
              <w:spacing w:beforeLines="20" w:before="48" w:afterLines="20" w:after="48"/>
            </w:pPr>
            <w:r>
              <w:t>SCG</w:t>
            </w:r>
          </w:p>
        </w:tc>
        <w:tc>
          <w:tcPr>
            <w:tcW w:w="4110" w:type="dxa"/>
            <w:tcBorders>
              <w:top w:val="single" w:sz="4" w:space="0" w:color="auto"/>
              <w:left w:val="single" w:sz="6" w:space="0" w:color="auto"/>
              <w:bottom w:val="single" w:sz="6" w:space="0" w:color="auto"/>
              <w:right w:val="single" w:sz="6" w:space="0" w:color="auto"/>
            </w:tcBorders>
            <w:noWrap/>
          </w:tcPr>
          <w:p w14:paraId="3F3EC90F" w14:textId="2231D46B" w:rsidR="000B419A" w:rsidRDefault="000B419A" w:rsidP="00834299">
            <w:pPr>
              <w:pStyle w:val="TAC"/>
              <w:spacing w:beforeLines="20" w:before="48" w:afterLines="20" w:after="48"/>
              <w:ind w:left="83" w:right="137"/>
              <w:jc w:val="left"/>
            </w:pPr>
            <w:r>
              <w:t xml:space="preserve">LBT failures on MCG </w:t>
            </w:r>
            <w:r w:rsidR="007F2835">
              <w:t>increase</w:t>
            </w:r>
            <w:r>
              <w:t xml:space="preserve"> the threshold</w:t>
            </w:r>
          </w:p>
          <w:p w14:paraId="3F4EC866" w14:textId="779F2B06" w:rsidR="005701A0" w:rsidRPr="005F5A6C" w:rsidRDefault="000B419A" w:rsidP="00834299">
            <w:pPr>
              <w:pStyle w:val="TAC"/>
              <w:spacing w:beforeLines="20" w:before="48" w:afterLines="20" w:after="48"/>
              <w:ind w:left="83" w:right="137"/>
              <w:jc w:val="left"/>
            </w:pPr>
            <w:r>
              <w:t xml:space="preserve">LBT failures on SCG </w:t>
            </w:r>
            <w:r w:rsidR="007F2835">
              <w:t>decrease</w:t>
            </w:r>
            <w:r>
              <w:t xml:space="preserve"> the threshold</w:t>
            </w:r>
          </w:p>
        </w:tc>
      </w:tr>
    </w:tbl>
    <w:p w14:paraId="2B298A00" w14:textId="739FEE33" w:rsidR="005701A0" w:rsidRDefault="005701A0" w:rsidP="00A209D6"/>
    <w:p w14:paraId="2D318619" w14:textId="36BA0E65" w:rsidR="00A209D6" w:rsidRPr="006E13D1" w:rsidRDefault="005701A0" w:rsidP="000B419A">
      <w:r w:rsidRPr="005701A0">
        <w:rPr>
          <w:b/>
        </w:rPr>
        <w:t xml:space="preserve">Proposal </w:t>
      </w:r>
      <w:r w:rsidR="000B419A">
        <w:rPr>
          <w:b/>
        </w:rPr>
        <w:t>2</w:t>
      </w:r>
      <w:r>
        <w:t xml:space="preserve">: </w:t>
      </w:r>
      <w:r w:rsidR="000B419A">
        <w:t>adopt the behaviour outlined in Table 4</w:t>
      </w:r>
      <w:r>
        <w:t>.</w:t>
      </w:r>
    </w:p>
    <w:p w14:paraId="5FF2457F" w14:textId="292CB68D" w:rsidR="00A209D6" w:rsidRPr="006E13D1" w:rsidRDefault="00A209D6" w:rsidP="00A209D6">
      <w:pPr>
        <w:pStyle w:val="Heading1"/>
      </w:pPr>
      <w:r w:rsidRPr="006E13D1">
        <w:t>4</w:t>
      </w:r>
      <w:r w:rsidRPr="006E13D1">
        <w:tab/>
      </w:r>
      <w:r w:rsidR="000B419A">
        <w:t>Conclusion</w:t>
      </w:r>
    </w:p>
    <w:p w14:paraId="6C60FFDC" w14:textId="7032E06F" w:rsidR="00A209D6" w:rsidRPr="006E13D1" w:rsidRDefault="000B419A" w:rsidP="00A209D6">
      <w:r>
        <w:t xml:space="preserve">This contribution has investigated the challenges inherent to DC operation involving unlicensed </w:t>
      </w:r>
      <w:r w:rsidR="007F2835">
        <w:t>spectrum</w:t>
      </w:r>
      <w:r>
        <w:t xml:space="preserve"> and has observed the following:</w:t>
      </w:r>
    </w:p>
    <w:p w14:paraId="51B52B4E" w14:textId="77777777" w:rsidR="000B419A" w:rsidRPr="005F5A6C" w:rsidRDefault="000B419A" w:rsidP="000B419A">
      <w:r w:rsidRPr="00D6226F">
        <w:rPr>
          <w:b/>
        </w:rPr>
        <w:t>Observation 1</w:t>
      </w:r>
      <w:r>
        <w:t>: the threshold-based mechanism of DC is too rigid for operating in unlicensed spectrum involving LBT; it increases delay and reduces overall throughput.</w:t>
      </w:r>
    </w:p>
    <w:p w14:paraId="60449C3F" w14:textId="60374842" w:rsidR="00A209D6" w:rsidRDefault="000B419A" w:rsidP="00A209D6">
      <w:r>
        <w:t>And the following proposals were made:</w:t>
      </w:r>
    </w:p>
    <w:p w14:paraId="289C90AE" w14:textId="77777777" w:rsidR="000B419A" w:rsidRDefault="000B419A" w:rsidP="000B419A">
      <w:r w:rsidRPr="005701A0">
        <w:rPr>
          <w:b/>
        </w:rPr>
        <w:t>Proposal 1</w:t>
      </w:r>
      <w:r>
        <w:t>: reflect LBT failures into the threshold.</w:t>
      </w:r>
    </w:p>
    <w:p w14:paraId="77C9D658" w14:textId="77777777" w:rsidR="000B419A" w:rsidRPr="006E13D1" w:rsidRDefault="000B419A" w:rsidP="000B419A">
      <w:r w:rsidRPr="005701A0">
        <w:rPr>
          <w:b/>
        </w:rPr>
        <w:t xml:space="preserve">Proposal </w:t>
      </w:r>
      <w:r>
        <w:rPr>
          <w:b/>
        </w:rPr>
        <w:t>2</w:t>
      </w:r>
      <w:r>
        <w:t>: adopt the behaviour outlined in Table 4.</w:t>
      </w:r>
    </w:p>
    <w:p w14:paraId="43DC0848" w14:textId="77777777" w:rsidR="000B419A" w:rsidRPr="006E13D1" w:rsidRDefault="000B419A"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9D179" w14:textId="77777777" w:rsidR="006351EE" w:rsidRDefault="006351EE">
      <w:r>
        <w:separator/>
      </w:r>
    </w:p>
  </w:endnote>
  <w:endnote w:type="continuationSeparator" w:id="0">
    <w:p w14:paraId="45B8AFCE" w14:textId="77777777" w:rsidR="006351EE" w:rsidRDefault="0063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3F852" w14:textId="77777777" w:rsidR="006351EE" w:rsidRDefault="006351EE">
      <w:r>
        <w:separator/>
      </w:r>
    </w:p>
  </w:footnote>
  <w:footnote w:type="continuationSeparator" w:id="0">
    <w:p w14:paraId="609E75F7" w14:textId="77777777" w:rsidR="006351EE" w:rsidRDefault="00635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436D"/>
    <w:rsid w:val="00073C9C"/>
    <w:rsid w:val="00080512"/>
    <w:rsid w:val="00090468"/>
    <w:rsid w:val="000B419A"/>
    <w:rsid w:val="000B7BCF"/>
    <w:rsid w:val="000C522B"/>
    <w:rsid w:val="000D58AB"/>
    <w:rsid w:val="000F7AB1"/>
    <w:rsid w:val="00104435"/>
    <w:rsid w:val="00112F1A"/>
    <w:rsid w:val="00145075"/>
    <w:rsid w:val="00166F4D"/>
    <w:rsid w:val="001741A0"/>
    <w:rsid w:val="00175FA0"/>
    <w:rsid w:val="00194CD0"/>
    <w:rsid w:val="001B49C9"/>
    <w:rsid w:val="001C4F79"/>
    <w:rsid w:val="001F168B"/>
    <w:rsid w:val="001F7831"/>
    <w:rsid w:val="00204045"/>
    <w:rsid w:val="0020712B"/>
    <w:rsid w:val="0022606D"/>
    <w:rsid w:val="00231728"/>
    <w:rsid w:val="002610D8"/>
    <w:rsid w:val="002747EC"/>
    <w:rsid w:val="002778C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701A0"/>
    <w:rsid w:val="005F5A6C"/>
    <w:rsid w:val="00611566"/>
    <w:rsid w:val="006351EE"/>
    <w:rsid w:val="00646D99"/>
    <w:rsid w:val="00656910"/>
    <w:rsid w:val="006C66D8"/>
    <w:rsid w:val="006C7616"/>
    <w:rsid w:val="006D1E24"/>
    <w:rsid w:val="006E1417"/>
    <w:rsid w:val="006F6A2C"/>
    <w:rsid w:val="00710201"/>
    <w:rsid w:val="00715C5C"/>
    <w:rsid w:val="0072073A"/>
    <w:rsid w:val="007342B5"/>
    <w:rsid w:val="00734A5B"/>
    <w:rsid w:val="00744E76"/>
    <w:rsid w:val="00757D40"/>
    <w:rsid w:val="00781F0F"/>
    <w:rsid w:val="0078727C"/>
    <w:rsid w:val="0079049D"/>
    <w:rsid w:val="00793DC5"/>
    <w:rsid w:val="007B18D8"/>
    <w:rsid w:val="007C095F"/>
    <w:rsid w:val="007C2DD0"/>
    <w:rsid w:val="007F2835"/>
    <w:rsid w:val="008028A4"/>
    <w:rsid w:val="00813245"/>
    <w:rsid w:val="00834299"/>
    <w:rsid w:val="008768CA"/>
    <w:rsid w:val="00877EF9"/>
    <w:rsid w:val="00880559"/>
    <w:rsid w:val="008B5306"/>
    <w:rsid w:val="008D2E4D"/>
    <w:rsid w:val="008F38C5"/>
    <w:rsid w:val="008F396F"/>
    <w:rsid w:val="0090271F"/>
    <w:rsid w:val="00902DB9"/>
    <w:rsid w:val="0090466A"/>
    <w:rsid w:val="00936071"/>
    <w:rsid w:val="00940212"/>
    <w:rsid w:val="00942EC2"/>
    <w:rsid w:val="00961B32"/>
    <w:rsid w:val="00962509"/>
    <w:rsid w:val="00970DB3"/>
    <w:rsid w:val="00974BB0"/>
    <w:rsid w:val="009A0AF3"/>
    <w:rsid w:val="009A47C6"/>
    <w:rsid w:val="009B07CD"/>
    <w:rsid w:val="009C19E9"/>
    <w:rsid w:val="009D74A6"/>
    <w:rsid w:val="00A10F02"/>
    <w:rsid w:val="00A204CA"/>
    <w:rsid w:val="00A209D6"/>
    <w:rsid w:val="00A31C1E"/>
    <w:rsid w:val="00A53724"/>
    <w:rsid w:val="00A54B2B"/>
    <w:rsid w:val="00A82346"/>
    <w:rsid w:val="00A9671C"/>
    <w:rsid w:val="00AA1553"/>
    <w:rsid w:val="00B05380"/>
    <w:rsid w:val="00B05962"/>
    <w:rsid w:val="00B15449"/>
    <w:rsid w:val="00B27303"/>
    <w:rsid w:val="00B47FD1"/>
    <w:rsid w:val="00B516BB"/>
    <w:rsid w:val="00B84DB2"/>
    <w:rsid w:val="00BC3555"/>
    <w:rsid w:val="00BD6DAF"/>
    <w:rsid w:val="00BE30A7"/>
    <w:rsid w:val="00C12B51"/>
    <w:rsid w:val="00C24650"/>
    <w:rsid w:val="00C25465"/>
    <w:rsid w:val="00C33079"/>
    <w:rsid w:val="00C577E2"/>
    <w:rsid w:val="00C64726"/>
    <w:rsid w:val="00C83A13"/>
    <w:rsid w:val="00C9068C"/>
    <w:rsid w:val="00C92967"/>
    <w:rsid w:val="00C972D0"/>
    <w:rsid w:val="00CA3D0C"/>
    <w:rsid w:val="00CA654B"/>
    <w:rsid w:val="00CB72B8"/>
    <w:rsid w:val="00CD4C7B"/>
    <w:rsid w:val="00D1334E"/>
    <w:rsid w:val="00D33BE3"/>
    <w:rsid w:val="00D3792D"/>
    <w:rsid w:val="00D46B95"/>
    <w:rsid w:val="00D55E47"/>
    <w:rsid w:val="00D6226F"/>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4C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43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27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277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3.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TSG_RAN/TSGR_82/Docs/RP-18287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98</TotalTime>
  <Pages>1</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59</cp:revision>
  <dcterms:created xsi:type="dcterms:W3CDTF">2016-08-12T03:53:00Z</dcterms:created>
  <dcterms:modified xsi:type="dcterms:W3CDTF">2019-10-03T00:47:00Z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